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E8" w:rsidRDefault="007424E8" w:rsidP="007424E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OC-6541/1/20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70349F" w:rsidRDefault="007424E8" w:rsidP="0070349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</w:t>
      </w:r>
      <w:r w:rsidR="0070349F">
        <w:rPr>
          <w:rFonts w:ascii="Arial" w:hAnsi="Arial" w:cs="Arial"/>
          <w:b/>
          <w:color w:val="000000"/>
          <w:sz w:val="22"/>
          <w:szCs w:val="22"/>
        </w:rPr>
        <w:t>„Z</w:t>
      </w:r>
      <w:r w:rsidR="0070349F">
        <w:rPr>
          <w:b/>
          <w:color w:val="000000"/>
        </w:rPr>
        <w:t xml:space="preserve">akup i dostawa średniego samochodu ratowniczo gaśniczego „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7424E8" w:rsidRDefault="00F92599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4" w:history="1">
        <w:r w:rsidR="007424E8"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70349F">
        <w:rPr>
          <w:rFonts w:ascii="Arial" w:hAnsi="Arial" w:cs="Arial"/>
          <w:b/>
          <w:color w:val="000000"/>
          <w:sz w:val="22"/>
          <w:szCs w:val="22"/>
        </w:rPr>
        <w:t>„Z</w:t>
      </w:r>
      <w:r w:rsidR="0070349F">
        <w:rPr>
          <w:b/>
          <w:color w:val="000000"/>
        </w:rPr>
        <w:t>akup i dostawa średniego samochodu ratowniczo gaśniczego „</w:t>
      </w:r>
    </w:p>
    <w:p w:rsidR="0070349F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1.Opis przedmiotu zamówienia:</w:t>
      </w:r>
    </w:p>
    <w:p w:rsidR="0070349F" w:rsidRDefault="007424E8" w:rsidP="0070349F">
      <w:pPr>
        <w:autoSpaceDE w:val="0"/>
        <w:autoSpaceDN w:val="0"/>
        <w:adjustRightInd w:val="0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0349F">
        <w:rPr>
          <w:color w:val="000000"/>
        </w:rPr>
        <w:t>Przedmiotem zamówienia jest zakup i dostawa średniego samochodu ratowniczo gaśniczego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Wymagania techniczne: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1) samochód powinien spełniać wymagania polskich przepisów o ruchu drogowym,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uwzględnieniem wymagań dotyczących pojazdów uprzywilejowanych, zgodnie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ustawą z dnia 20 czerwca 1997 r. Prawo o ruchu drogowym (</w:t>
      </w:r>
      <w:proofErr w:type="spellStart"/>
      <w:r>
        <w:rPr>
          <w:color w:val="1D1B11"/>
        </w:rPr>
        <w:t>Dz.U</w:t>
      </w:r>
      <w:proofErr w:type="spellEnd"/>
      <w:r>
        <w:rPr>
          <w:color w:val="1D1B11"/>
        </w:rPr>
        <w:t>. z 2005 r. Nr 108,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poz. 908 z późniejszymi zmianami);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2) samochód powinien spełniać wymagania ogólne i szczegółowe przewidziane dla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średniego samochodu ratowniczo-gaśniczego – KG PSP CNBOP czerwiec 2002 r.;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000000"/>
        </w:rPr>
        <w:t xml:space="preserve">3) </w:t>
      </w:r>
      <w:r>
        <w:rPr>
          <w:color w:val="1D1B11"/>
        </w:rPr>
        <w:t>samochód powinien posiadać oznakowanie zgodnie z załącznikiem nr 14, do rozkazu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Komendanta Głównego PSP z dnia 26 lipca 2002 r.;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000000"/>
        </w:rPr>
        <w:t xml:space="preserve">4) </w:t>
      </w:r>
      <w:r>
        <w:rPr>
          <w:color w:val="1D1B11"/>
        </w:rPr>
        <w:t>posiadać świadectwo dopuszczenia do użytkowania wydane na podstawie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rozporządzenia Ministra Spraw Wewnętrznych i Administracji z dnia 20 czerwca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2007 r. w sprawie wykazu wyrobów służących zapewnieniu bezpieczeństwa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lastRenderedPageBreak/>
        <w:t>publicznego lub ochronie zdrowia i życia oraz mienia, a także zasad wydawania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dopuszczenia tych wyrobów do użytkowania (Dz. U. z 2007 r. Nr 143, poz. 1002);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Świadectwo dopuszczenia CNBOP ważne na dzień składania ofert.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5) masa całkowita samochodu gotowego do akcji ratowniczo -gaśniczej (pojazd z załogą,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pełnymi zbiornikami, zabudową i wyposażeniem) nie może przekraczać 14000 kg;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6) pojazd powinien być wyposażony w urządzenie sygnalizacyjno – ostrzegawcze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akustyczne i świetlne. Lampa zespolona z napisem „STRAŻ” z lampami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stroboskopowymi niebieskimi i głośnikiem min. 100 W umieszczona na dachu kabiny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 osłonie z siatki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dodatkowe 2 lampy sygnalizacyjne niebieskie stroboskopowe z przodu pojazdu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 osłonie z siatki,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dodatkowa lampa sygnalizacyjna niebieska stroboskopowa z tyłu pojazdu w osłonie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siatki,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c) dodatkowa fala świetlna umieszczona z tyłu pojazdu koloru pomarańczowego.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7) urządzenie akustyczne powinno umożliwiać podawanie komunikatów słownych,</w:t>
      </w:r>
    </w:p>
    <w:p w:rsidR="0070349F" w:rsidRDefault="0070349F" w:rsidP="0070349F">
      <w:pPr>
        <w:rPr>
          <w:color w:val="1D1B11"/>
        </w:rPr>
      </w:pPr>
      <w:r>
        <w:rPr>
          <w:color w:val="1D1B11"/>
        </w:rPr>
        <w:t>w tym za pomocą radiotelefonu;</w:t>
      </w:r>
    </w:p>
    <w:p w:rsidR="0070349F" w:rsidRDefault="0070349F" w:rsidP="0070349F">
      <w:pPr>
        <w:rPr>
          <w:color w:val="1D1B11"/>
        </w:rPr>
      </w:pPr>
      <w:r>
        <w:rPr>
          <w:color w:val="1D1B11"/>
        </w:rPr>
        <w:t>8) w przedziale autopompy musi być zainstalowany dodatkowy głośnik wraz z manipulatorem współpracujący z radiotelefonem przewoźnym;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9) podwozie pojazdu z silnikiem o zapłonie samoczynnym, spełniającym wymogi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odnośnie czystości spalin zgodnie z obowiązującymi w tym zakresie przepisami, 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mniej niż EURO-4 (osiągnięcie normy czystości spalin poprzez zastosowanie płynu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proofErr w:type="spellStart"/>
      <w:r>
        <w:rPr>
          <w:color w:val="1D1B11"/>
        </w:rPr>
        <w:t>AdBlue</w:t>
      </w:r>
      <w:proofErr w:type="spellEnd"/>
      <w:r>
        <w:rPr>
          <w:color w:val="1D1B11"/>
        </w:rPr>
        <w:t>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10) silnik o mocy minimum 280 KM;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11) maksymalna wysokość całkowita 3200 mm z zamontowaną drabiną;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12) maksymalna wysokość górnej krawędzi najwyższej półki w położeniu roboczym lub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szuflady nie może przekroczyć 1800 mm od poziomu gruntu lub odchylanych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podestów roboczych;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13) sprzęt rozmieszczony grupowo w zależności od przeznaczenia z zachowaniem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ergonomii;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14) napęd stały 4 x 4, skrzynia redukcyjna do jazdy w terenie, blokady mechanizmów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różnicowych: międzyosiowego, osi tylnej, osi przedniej;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15) kabina czterodrzwiowa, jednomodułowa, zapewniająca dostęp do silnika, w układzie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miejsc 1+1+4 (siedzenia przodem do kierunku jazdy);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16) kabina musi być wyposażona w: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indywidualne oświetlenie nad siedzeniem dowódcy,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ogrzewanie niezależne od pracy silnika,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c) uchwyt do trzymania w tylnej części kabiny,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d) schowek pod siedziskami w tylnej części kabiny,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e) 6 szt. reflektorów </w:t>
      </w:r>
      <w:proofErr w:type="spellStart"/>
      <w:r>
        <w:rPr>
          <w:color w:val="1D1B11"/>
        </w:rPr>
        <w:t>xenonowych</w:t>
      </w:r>
      <w:proofErr w:type="spellEnd"/>
      <w:r>
        <w:rPr>
          <w:color w:val="1D1B11"/>
        </w:rPr>
        <w:t xml:space="preserve"> </w:t>
      </w:r>
      <w:proofErr w:type="spellStart"/>
      <w:r>
        <w:rPr>
          <w:color w:val="1D1B11"/>
        </w:rPr>
        <w:t>dwużarnikowych</w:t>
      </w:r>
      <w:proofErr w:type="spellEnd"/>
      <w:r>
        <w:rPr>
          <w:color w:val="1D1B11"/>
        </w:rPr>
        <w:t xml:space="preserve"> o sile światła 80000 kandeli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zamontowanych na podeście, posiadających atest FTZU 04 ATEX 0180 II 3G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proofErr w:type="spellStart"/>
      <w:r>
        <w:rPr>
          <w:color w:val="1D1B11"/>
        </w:rPr>
        <w:t>EEx</w:t>
      </w:r>
      <w:proofErr w:type="spellEnd"/>
      <w:r>
        <w:rPr>
          <w:color w:val="1D1B11"/>
        </w:rPr>
        <w:t xml:space="preserve"> n AL IIC T4 II 3D T53OC i 6 szt. radiostacji nasobnych: częstotliwość VHF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136-174 </w:t>
      </w:r>
      <w:proofErr w:type="spellStart"/>
      <w:r>
        <w:rPr>
          <w:color w:val="1D1B11"/>
        </w:rPr>
        <w:t>MHz</w:t>
      </w:r>
      <w:proofErr w:type="spellEnd"/>
      <w:r>
        <w:rPr>
          <w:color w:val="1D1B11"/>
        </w:rPr>
        <w:t>, moc 1-5 W (VHF), moc 1-4 (UHF) odstęp międzykanałowy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12,5/20/25 </w:t>
      </w:r>
      <w:proofErr w:type="spellStart"/>
      <w:r>
        <w:rPr>
          <w:color w:val="1D1B11"/>
        </w:rPr>
        <w:t>kHz</w:t>
      </w:r>
      <w:proofErr w:type="spellEnd"/>
      <w:r>
        <w:rPr>
          <w:color w:val="1D1B11"/>
        </w:rPr>
        <w:t xml:space="preserve"> dostosowany do użytkowania w sieci </w:t>
      </w:r>
      <w:proofErr w:type="spellStart"/>
      <w:r>
        <w:rPr>
          <w:color w:val="1D1B11"/>
        </w:rPr>
        <w:t>MSWiA</w:t>
      </w:r>
      <w:proofErr w:type="spellEnd"/>
      <w:r>
        <w:rPr>
          <w:color w:val="1D1B11"/>
        </w:rPr>
        <w:t xml:space="preserve"> min. 128 kanałów,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wyświetlacz min 14 znaków, wraz z ładowarkami i kompletną instalacją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ładowania,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f) reflektor ręczny (szperacz) do oświetlenia numerów budynków,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g) reflektor </w:t>
      </w:r>
      <w:proofErr w:type="spellStart"/>
      <w:r>
        <w:rPr>
          <w:color w:val="1D1B11"/>
        </w:rPr>
        <w:t>pogorzeliskowy</w:t>
      </w:r>
      <w:proofErr w:type="spellEnd"/>
      <w:r>
        <w:rPr>
          <w:color w:val="1D1B11"/>
        </w:rPr>
        <w:t xml:space="preserve"> umieszczony z przodu pojazdu i mocowany na zewnątrz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kabiny,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h) orurowanie z przodu kabiny do wysokości szyby przedniej,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i) elektrycznie sterowane i podgrzewane lusterka zewnętrzne po stronie kierowcy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lastRenderedPageBreak/>
        <w:t>i dowódcy,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j) radiotelefon samochodowy wraz z anteną o parametrach: częstotliwość VHF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136-174 </w:t>
      </w:r>
      <w:proofErr w:type="spellStart"/>
      <w:r>
        <w:rPr>
          <w:color w:val="1D1B11"/>
        </w:rPr>
        <w:t>MHz</w:t>
      </w:r>
      <w:proofErr w:type="spellEnd"/>
      <w:r>
        <w:rPr>
          <w:color w:val="1D1B11"/>
        </w:rPr>
        <w:t xml:space="preserve">, moc 1-25 W, odstęp międzykanałowy 12,5 </w:t>
      </w:r>
      <w:proofErr w:type="spellStart"/>
      <w:r>
        <w:rPr>
          <w:color w:val="1D1B11"/>
        </w:rPr>
        <w:t>kHz</w:t>
      </w:r>
      <w:proofErr w:type="spellEnd"/>
      <w:r>
        <w:rPr>
          <w:color w:val="1D1B11"/>
        </w:rPr>
        <w:t xml:space="preserve"> dostosowany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użytkowania w sieci </w:t>
      </w:r>
      <w:proofErr w:type="spellStart"/>
      <w:r>
        <w:rPr>
          <w:color w:val="1D1B11"/>
        </w:rPr>
        <w:t>MSWiA</w:t>
      </w:r>
      <w:proofErr w:type="spellEnd"/>
      <w:r>
        <w:rPr>
          <w:color w:val="1D1B11"/>
        </w:rPr>
        <w:t xml:space="preserve"> min. 128 kanałów, wyświetlacz alfanumeryczny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min 14 znaków,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k) radio z odtwarzaczem CD,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l) klapę wentylacyjną w dachu,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000000"/>
        </w:rPr>
        <w:t xml:space="preserve">m) </w:t>
      </w:r>
      <w:r>
        <w:rPr>
          <w:color w:val="1D1B11"/>
        </w:rPr>
        <w:t>dodatkowy sygnał pneumatyczny, włączany dodatkowym włącznikiem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miejsca kierowcy.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17) siedzenia wyposażone w pasy bezpieczeństwa, siedzenia pokryte materiałem łatwo</w:t>
      </w:r>
    </w:p>
    <w:p w:rsidR="0070349F" w:rsidRDefault="0070349F" w:rsidP="0070349F">
      <w:pPr>
        <w:rPr>
          <w:color w:val="1D1B11"/>
        </w:rPr>
      </w:pPr>
      <w:r>
        <w:rPr>
          <w:color w:val="1D1B11"/>
        </w:rPr>
        <w:t>zmywalnym, odpornym na rozdarcie i ścieranie, siedzenia wyposażone w zagłówki,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siedzenie dla kierowcy z regulacją pneumatyczną wysokości, odległości i pochylenia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oparcia;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18) instalacja elektryczna jednoprzewodowa, z biegunem ujemnym na masie lub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dwuprzewodowa w przypadku zabudowy z tworzywa sztucznego. Moc alternatora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pojemność akumulatorów musi zabezpieczać pełne zapotrzebowanie na energie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elektryczną przy maksymalnym obciążeniu;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19) montaż przetwornicy napięcia 24V/12V;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20) instalacja elektryczna musi być wyposażona w główny wyłącznik prądu.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21) pojazd musi być wyposażony w gniazdo (z wtyczką) do ładowania akumulatorów ze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źródła zewnętrznego umieszczone po lewej stronie (sygnalizacja podłączenia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zewnętrznego źródła w kabinie kierowcy). Złącze </w:t>
      </w:r>
      <w:proofErr w:type="spellStart"/>
      <w:r>
        <w:rPr>
          <w:color w:val="1D1B11"/>
        </w:rPr>
        <w:t>samorozłączalne</w:t>
      </w:r>
      <w:proofErr w:type="spellEnd"/>
      <w:r>
        <w:rPr>
          <w:color w:val="1D1B11"/>
        </w:rPr>
        <w:t xml:space="preserve"> w momencie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rozruchu silnika (sygnalizacja podłączenia do zewnętrznego źródła w kabinie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kierowcy);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22) pojazd musi być wyposażony w gniazdo do podłączenia powietrza ze sprężarki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umieszczone po lewej stronie. Złącze </w:t>
      </w:r>
      <w:proofErr w:type="spellStart"/>
      <w:r>
        <w:rPr>
          <w:color w:val="1D1B11"/>
        </w:rPr>
        <w:t>samorozłączalne</w:t>
      </w:r>
      <w:proofErr w:type="spellEnd"/>
      <w:r>
        <w:rPr>
          <w:color w:val="1D1B11"/>
        </w:rPr>
        <w:t xml:space="preserve"> w momencie rozruchu silnika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(sygnalizacja podłączenia do zewnętrznego źródła w kabinie kierowcy);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23) pojazd musi być wyposażony w sygnalizację świetlną i dźwiękową włączonego biegu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wstecznego - jako sygnalizację świetlną dopuszcza się światło cofania;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24) minimalny prześwit podwozia 250 mm;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25) kąt natarcia: min. 23°;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26) kąt zejścia: min.23°;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27) największa obrysowa średnica zawracania: </w:t>
      </w:r>
      <w:proofErr w:type="spellStart"/>
      <w:r>
        <w:rPr>
          <w:color w:val="1D1B11"/>
        </w:rPr>
        <w:t>max</w:t>
      </w:r>
      <w:proofErr w:type="spellEnd"/>
      <w:r>
        <w:rPr>
          <w:color w:val="1D1B11"/>
        </w:rPr>
        <w:t>. 17 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28) rezerwa masy liczona w stosunku do dopuszczalnej masy całkowitej pojazdu min. 3%;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29) kolorystyka: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elementy podwozia - czarne, ciemnoszare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błotniki i zderzaki - białe,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c) kabina, zabudowa – czerwony RAL 3000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30) instalacja pneumatyczna pojazdu powinna zapewnić możliwość wyjazdu w ciągu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minuty od uruchomienia silnika samochodu;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31) wylot spalin nie może być skierowany na stanowiska obsługi poszczególnych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urządzeń pojazdu. Wylot spalin powinien być wyprowadzony na lewą stronę pojazdu;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32) wszelkie funkcje wszystkich układów i urządzeń pojazdu muszą zachować swoje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właściwości pracy w temperaturach otoczenia od –25°C do +50°C;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33) podstawowa obsługa silnika musi być możliwa bez podnoszenia kabiny;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34) pojemność zbiornika paliwa musi zapewnić przejazd minimum 300 km lub 4 godzinną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pracę autopompy;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35) silnik pojazdu musi być przystosowany do ciągłej pracy, bez uzupełniania cieczy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chłodzącej, oleju oraz przekraczania dopuszczalnych parametrów pracy określonych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przez producenta, w czasie minimum 4 godzin podczas postoju;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lastRenderedPageBreak/>
        <w:t>36) pojazd musi być wyposażony w system ABS z możliwością odłączenia;</w:t>
      </w:r>
    </w:p>
    <w:p w:rsidR="0070349F" w:rsidRDefault="0070349F" w:rsidP="0070349F">
      <w:pPr>
        <w:rPr>
          <w:color w:val="1D1B11"/>
        </w:rPr>
      </w:pPr>
      <w:r>
        <w:rPr>
          <w:color w:val="1D1B11"/>
        </w:rPr>
        <w:t>37) pojazd wyposażony w zaczep do holowania z przodu pojazdu;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38) pojazd wyposażony w zaczep holowniczy z tyłu pojazdu do holowania przyczep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o masie do 3,5 t;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39) ogumienie uniwersalne, z bieżnikiem dostosowanym do różnych warunków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atmosferycznych, na osi tylnej ogumienie podwójne;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40) pełnowymiarowe koło zapasowe mocowane w samochodzie do przewożenia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awaryjnego (miejsce uzgodnić z zamawiającym);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41) zabudowa musi być wykonana w całości z materiałów odpornych na korozję - stali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nierdzewnej i anodowanego aluminium;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42) dach zabudowy musi być wykonany w formie podestu. Powierzchnia dachu musi być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pokryta ryflowaną blachą aluminiową anodowaną o właściwościach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przeciwpoślizgowych, a obrzeża zabezpieczone balustradą ochronną;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43) na dachu pojazdu zamontowana zamykana skrzynia wykonana z blachy aluminiowej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anodowanej na drobny sprzęt o wymiarach 70 cm x 250 cm (szerokość x długość);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44) na podeście roboczym zamontowane na stałe działko wodno-pianowe o regulowanej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wydajności 800-1600 l/min. przy ciśnieniu 0,8 </w:t>
      </w:r>
      <w:proofErr w:type="spellStart"/>
      <w:r>
        <w:rPr>
          <w:color w:val="1D1B11"/>
        </w:rPr>
        <w:t>MPa</w:t>
      </w:r>
      <w:proofErr w:type="spellEnd"/>
      <w:r>
        <w:rPr>
          <w:color w:val="1D1B11"/>
        </w:rPr>
        <w:t xml:space="preserve"> i regulowanym kształcie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strumienia.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45) powierzchnie platform, podestu roboczego i podłogi kabiny w wykonaniu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antypoślizgowym;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46) drabina do wejścia na dach musi być wykonana z materiałów nierdzewnych,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powierzchniami stopni w wykonaniu anty poślizgowym;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47) skrytki na sprzęt i wyposażenie muszą być zamykane żaluzjami wodo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pyłoszczelnymi wspomaganymi systemem sprężynowym, wykonanymi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anodowanego aluminium, wyposażonymi w zamki zamykane na klucz, (jeden klucz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pasujący do wszystkich zamków). Zamknięcia żaluzji typu rurkowego. Dostęp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sprzętu z zachowaniem wymagań ergonomii;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48) skrytki na sprzęt i przedział autopompy muszą być wyposażone w oświetlenie,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włączane automatycznie po otwarciu skrytki. Główny wyłącznik oświetlenia skrytek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zainstalowany w kabinie kierowcy;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49) pojazd musi być wyposażony w oświetlenie pola pracy wokół samochodu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zapewniające natężenie światła 5 lx w odległości 1 m od pojazdu na poziomie gruntu,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 warunkach słabej widoczności;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50) szuflady, podesty i wysuwane tace muszą automatycznie blokować się w pozycji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zamkniętej i otwartej oraz posiadać zabezpieczenie przed całkowitym wyciągnięciem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(wypadaniem z prowadnic);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51) szuflady, podesty i tace wystające w pozycji otwartej powyżej 250 mm poza obrys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pojazdu muszą posiadać oznakowanie ostrzegawcze;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52) uchwyty, klamki wszystkich urządzeń samochodu, drzwi żaluzjowych, szuflad,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podestów, tac, muszą być tak skonstruowane, aby umożliwiały ich obsługę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 rękawicach;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53) konstrukcja skrytek zapewniająca odprowadzenie wody z ich wnętrza;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54) zbiornik wody o pojemności min. 2500 litrów wykonany ze stali nierdzewnej lub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innego materiału odpornego na korozję. Zbiornik musi być wyposażony</w:t>
      </w:r>
    </w:p>
    <w:p w:rsidR="0070349F" w:rsidRDefault="0070349F" w:rsidP="0070349F">
      <w:pPr>
        <w:rPr>
          <w:color w:val="1D1B11"/>
        </w:rPr>
      </w:pPr>
      <w:r>
        <w:rPr>
          <w:color w:val="1D1B11"/>
        </w:rPr>
        <w:t>w oprzyrządowanie umożliwiające jego bezpieczną eksploatacje oraz układ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zabezpieczający przed wypływem wody podczas jazdy. Zbiornik musi posiadać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szybko otwierany właz rewizyjny;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55) zbiornik środka pianotwórczego o pojemności min. 10% pojemności zbiornika wody,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wykonany ze stali nierdzewnej lub innego materiału odpornego na działanie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dopuszczonych do stosowania środków pianotwórczych i modyfikatorów. Zbiornik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lastRenderedPageBreak/>
        <w:t>musi być wyposażony w oprzyrządowanie zapewniające jego bezpieczną eksploatacje.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Napełnianie zbiornika środkiem pianotwórczym musi być możliwe z poziomu terenu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dachu pojazdu;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56) autopompa musi być zlokalizowana z tyłu pojazdu w obudowanym przedziale,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zamykanym drzwiami żaluzjowymi. Przedział autopompy ogrzewany niezależnym od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pracy silnika urządzeniem, tego samego producenta jak w kabinie kierowcy,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zabezpieczającym układ wodno pianowy przed zamarzaniem w temperaturach do –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25°C;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57) autopompa dwuzakresowa o wydajności min. 1600 l/min. przy ciśnieniu 0,8 </w:t>
      </w:r>
      <w:proofErr w:type="spellStart"/>
      <w:r>
        <w:rPr>
          <w:color w:val="1D1B11"/>
        </w:rPr>
        <w:t>MPa</w:t>
      </w:r>
      <w:proofErr w:type="spellEnd"/>
      <w:r>
        <w:rPr>
          <w:color w:val="1D1B11"/>
        </w:rPr>
        <w:t xml:space="preserve"> dla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głębokości ssania 1,5 m. Wydajność stopnia wysokiego ciśnienia 250 l/min. przy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ciśnieniu 4 </w:t>
      </w:r>
      <w:proofErr w:type="spellStart"/>
      <w:r>
        <w:rPr>
          <w:color w:val="1D1B11"/>
        </w:rPr>
        <w:t>MPa</w:t>
      </w:r>
      <w:proofErr w:type="spellEnd"/>
      <w:r>
        <w:rPr>
          <w:color w:val="1D1B11"/>
        </w:rPr>
        <w:t>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58) montaż automatycznego utrzymywania stałego ciśnienia tłoczenia;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59) układ wodno-pianowy musi być zabudowany w taki sposób żeby parametry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autopompy przy zasilaniu ze zbiornika samochodu były nie mniejsze niż przy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zasilaniu ze zbiornika zewnętrznego dla głębokości ssania 1,5 m;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60) samochód musi być wyposażony w wysokociśnieniową linię szybkiego natarcia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o długości węża 60 m na zwijadle, zakończoną prądownicą pistoletową wodno -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pianową z prądem zwartym i rozproszonym. Linia szybkiego natarcia musi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umożliwiać podawanie wody lub piany bez względu na stopień rozwinięcia węża;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61) zwijadło o napędzie ręcznym wyposażone w korbę i regulowany hamulec bębna;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62) instalacja </w:t>
      </w:r>
      <w:proofErr w:type="spellStart"/>
      <w:r>
        <w:rPr>
          <w:color w:val="1D1B11"/>
        </w:rPr>
        <w:t>zraszaczowa</w:t>
      </w:r>
      <w:proofErr w:type="spellEnd"/>
      <w:r>
        <w:rPr>
          <w:color w:val="1D1B11"/>
        </w:rPr>
        <w:t xml:space="preserve"> do ograniczania stref skażeń min. 4 szt.;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63) autopompa musi umożliwiać podanie wody i wodnego roztworu środka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pianotwórczego do: minimum dwóch nasad tłocznych 75 zlokalizowanych z lewej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prawej tylniej części pojazdu, wysokociśnieniowej linii szybkiego natarcia, działka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wodno – pianowego zamontowanego na dachu pojazdu;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64) autopompa musi umożliwiać podanie wody do zbiornika samochodu;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65) autopompa musi być wyposażona w urządzenie odpowietrzające umożliwiające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zassanie wody: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z głębokości 1,5 m w czasie do 30 sek.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z głębokości 7,5 m w czasie do 60 sek.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66) w przedziale autopompy muszą znajdować się następujące urządzenia kontrolno -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sterownicze pracy pompy: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manowakuometr,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manometr niskiego ciśnienia tłoczenia autopompy,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c) manometr wysokiego ciśnienia tłoczenia autopompy,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d) wskaźnik poziomu wody w zbiorniku samochodu,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e) wskaźnik poziomu środka pianotwórczego w zbiorniku,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f) miernik prędkości obrotowej autopompy,</w:t>
      </w:r>
    </w:p>
    <w:p w:rsidR="0070349F" w:rsidRDefault="0070349F" w:rsidP="0070349F">
      <w:pPr>
        <w:rPr>
          <w:color w:val="1D1B11"/>
        </w:rPr>
      </w:pPr>
      <w:r>
        <w:rPr>
          <w:color w:val="1D1B11"/>
        </w:rPr>
        <w:t>g) licznik motogodzin,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h) regulator prędkości obrotowej silnika pojazdu,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i) wyłącznik silnika pojazdu,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j) kontrolka awarii silnika pojazdu (min. spadku ciśnienia oleju i zwiększonej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temperatury cieczy chłodzącej silnika).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67) w kabinie kierowcy muszą znajdować się następujące urządzenia </w:t>
      </w:r>
      <w:proofErr w:type="spellStart"/>
      <w:r>
        <w:rPr>
          <w:color w:val="1D1B11"/>
        </w:rPr>
        <w:t>kontrolnopomiarowe</w:t>
      </w:r>
      <w:proofErr w:type="spellEnd"/>
      <w:r>
        <w:rPr>
          <w:color w:val="1D1B11"/>
        </w:rPr>
        <w:t>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wskaźnik poziomu wody w zbiorniku,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wskaźnik poziomu środka pianotwórczego;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68) zbiornik wody musi być wyposażony w nasadę 75 z odcinającym zaworem kulowym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do napełniania z hydrantu. Instalacja napełniania musi mieć konstrukcję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zabezpieczającą przed swobodnym wypływem wody ze zbiornika;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69) autopompa musi być wyposażona w dozownik środka pianotwórczego zapewniający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lastRenderedPageBreak/>
        <w:t>uzyskiwanie stężeń 3% i 6% (tolerancja ± 0,5%) w całym zakresie wydajności pompy;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70) wszystkie elementy układu wodno - pianowego muszą być odporne na korozję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działanie dopuszczonych do stosowania środków pianotwórczych i modyfikatorów;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71) konstrukcja układu wodno – pianowego musi umożliwiać jego całkowite odwodnienie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przy użyciu dwóch zaworów;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72) na wlocie ssawnym autopompy, oraz na wlotach do napełniania zbiornika z hydrantu,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muszą być zamontowane elementy zabezpieczające przed przedostaniem się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pompy zanieczyszczeń stałych zarówno przy ssaniu ze zbiornika zewnętrznego, jak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dla zbiornika własnego pojazdu, gwarantujący bezpieczną eksploatację pompy;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73) maszt oświetleniowy: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a) działanie masztu powinno odbywać się bez nagłych skoków podczas ruchu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góry i do dołu,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b) złożenie masztu bez konieczności ręcznego wspomagania,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c) przewody elektryczne zasilające reflektory nie powinny kolidować z ruchami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teleskopów,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d) wysokość rozłożonego masztu, mierzona od podłoża na którym stoi pojazd, do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oprawy reflektorów ustawionych poziomo, powinna wynosić min. 4,5 m,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e) maszt wysuwany pneumatycznie z </w:t>
      </w:r>
      <w:proofErr w:type="spellStart"/>
      <w:r>
        <w:rPr>
          <w:color w:val="1D1B11"/>
        </w:rPr>
        <w:t>najaśnicami</w:t>
      </w:r>
      <w:proofErr w:type="spellEnd"/>
      <w:r>
        <w:rPr>
          <w:color w:val="1D1B11"/>
        </w:rPr>
        <w:t xml:space="preserve"> halogenowymi o łącznej mocy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2000 W zamontowany na stałe na pojeździe z sygnalizacją podniesienia na panelu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kontrolnym,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f) sterowanie obrotem reflektorów wokół osi pionowej oraz zmianą ich kąta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pochylenia powinno odbywać się z poziomu ziemi,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g) stopień ochrony reflektorów masztu min. IP 55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74) z przodu pojazdu montaż wyciągarki linowej o sile uciągu min. 7 t.;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75) na pojeździe należy zapewnić miejsce na następujący sprzęt zgodnie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 xml:space="preserve">z tabelą nr 1 „Wymagania szczegółowe dla średniego samochodu </w:t>
      </w:r>
      <w:proofErr w:type="spellStart"/>
      <w:r>
        <w:rPr>
          <w:color w:val="1D1B11"/>
        </w:rPr>
        <w:t>ratowniczogaśniczego</w:t>
      </w:r>
      <w:proofErr w:type="spellEnd"/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z załogą 6 osobową i zbiornikiem wody 2000 – 2500 dm3” – KG PSP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i CNBOP - czerwiec 2002;</w:t>
      </w:r>
    </w:p>
    <w:p w:rsidR="0070349F" w:rsidRDefault="0070349F" w:rsidP="0070349F">
      <w:pPr>
        <w:autoSpaceDE w:val="0"/>
        <w:autoSpaceDN w:val="0"/>
        <w:adjustRightInd w:val="0"/>
        <w:rPr>
          <w:color w:val="1D1B11"/>
        </w:rPr>
      </w:pPr>
      <w:r>
        <w:rPr>
          <w:color w:val="1D1B11"/>
        </w:rPr>
        <w:t>76) warunki gwarancji:</w:t>
      </w:r>
    </w:p>
    <w:p w:rsidR="0070349F" w:rsidRDefault="0070349F" w:rsidP="0070349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a) na podwozie samochodu pożarniczego – minimum 24 miesiące, bez limitu</w:t>
      </w:r>
    </w:p>
    <w:p w:rsidR="0070349F" w:rsidRDefault="0070349F" w:rsidP="0070349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kilometrów,</w:t>
      </w:r>
    </w:p>
    <w:p w:rsidR="0070349F" w:rsidRDefault="0070349F" w:rsidP="0070349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b) na nadwozie pożarnicze – minimum 24 miesiące, bez limitu kilometrów</w:t>
      </w:r>
    </w:p>
    <w:p w:rsidR="0070349F" w:rsidRDefault="0070349F" w:rsidP="0070349F">
      <w:r>
        <w:rPr>
          <w:color w:val="000000"/>
        </w:rPr>
        <w:t>od daty podpisania protokołu odbioru.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Kod CPV  </w:t>
      </w:r>
      <w:r w:rsidR="0070349F">
        <w:rPr>
          <w:rFonts w:ascii="Arial" w:hAnsi="Arial" w:cs="Arial"/>
          <w:bCs/>
          <w:iCs/>
          <w:color w:val="000000"/>
          <w:sz w:val="22"/>
          <w:szCs w:val="22"/>
        </w:rPr>
        <w:t>34144210-3</w:t>
      </w:r>
    </w:p>
    <w:p w:rsidR="007424E8" w:rsidRDefault="007424E8" w:rsidP="007424E8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30.11.2010 r.,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nie wymaga wniesienia wadium</w:t>
      </w:r>
    </w:p>
    <w:p w:rsidR="0070349F" w:rsidRDefault="0070349F" w:rsidP="007424E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IX. Kryteria oceny ofert i ich znaczenie: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7424E8" w:rsidTr="007424E8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  <w:tr w:rsidR="007424E8" w:rsidTr="007424E8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</w:tbl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7424E8" w:rsidTr="007424E8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Waga</w:t>
            </w:r>
            <w:proofErr w:type="spellEnd"/>
          </w:p>
        </w:tc>
      </w:tr>
      <w:tr w:rsidR="007424E8" w:rsidTr="007424E8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4E8" w:rsidRDefault="007424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</w:t>
            </w:r>
          </w:p>
        </w:tc>
      </w:tr>
    </w:tbl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</w:t>
      </w:r>
      <w:r w:rsidR="0070349F">
        <w:rPr>
          <w:rFonts w:ascii="Arial" w:hAnsi="Arial" w:cs="Arial"/>
          <w:color w:val="000000"/>
          <w:sz w:val="22"/>
          <w:szCs w:val="22"/>
          <w:highlight w:val="white"/>
        </w:rPr>
        <w:t>9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-</w:t>
      </w:r>
      <w:r w:rsidR="0070349F">
        <w:rPr>
          <w:rFonts w:ascii="Arial" w:hAnsi="Arial" w:cs="Arial"/>
          <w:color w:val="000000"/>
          <w:sz w:val="22"/>
          <w:szCs w:val="22"/>
        </w:rPr>
        <w:t>03</w:t>
      </w:r>
      <w:r>
        <w:rPr>
          <w:rFonts w:ascii="Arial" w:hAnsi="Arial" w:cs="Arial"/>
          <w:color w:val="000000"/>
          <w:sz w:val="22"/>
          <w:szCs w:val="22"/>
        </w:rPr>
        <w:t xml:space="preserve">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424E8" w:rsidRPr="00EF66A4" w:rsidRDefault="007424E8" w:rsidP="007424E8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</w:t>
      </w:r>
      <w:r w:rsidR="0070349F">
        <w:rPr>
          <w:rFonts w:ascii="Arial" w:hAnsi="Arial" w:cs="Arial"/>
          <w:color w:val="000000"/>
          <w:sz w:val="22"/>
          <w:szCs w:val="22"/>
          <w:highlight w:val="white"/>
        </w:rPr>
        <w:t>9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-</w:t>
      </w:r>
      <w:r w:rsidR="0070349F">
        <w:rPr>
          <w:rFonts w:ascii="Arial" w:hAnsi="Arial" w:cs="Arial"/>
          <w:color w:val="000000"/>
          <w:sz w:val="22"/>
          <w:szCs w:val="22"/>
        </w:rPr>
        <w:t>03</w:t>
      </w:r>
      <w:r>
        <w:rPr>
          <w:rFonts w:ascii="Arial" w:hAnsi="Arial" w:cs="Arial"/>
          <w:color w:val="000000"/>
          <w:sz w:val="22"/>
          <w:szCs w:val="22"/>
        </w:rPr>
        <w:t xml:space="preserve">, o godz. </w:t>
      </w:r>
      <w:r w:rsidRPr="00EF66A4">
        <w:rPr>
          <w:rFonts w:ascii="Arial" w:hAnsi="Arial" w:cs="Arial"/>
          <w:b/>
          <w:color w:val="000000"/>
          <w:sz w:val="22"/>
          <w:szCs w:val="22"/>
          <w:highlight w:val="white"/>
        </w:rPr>
        <w:t>1</w:t>
      </w:r>
      <w:r w:rsidR="005822C1" w:rsidRPr="00EF66A4">
        <w:rPr>
          <w:rFonts w:ascii="Arial" w:hAnsi="Arial" w:cs="Arial"/>
          <w:b/>
          <w:color w:val="000000"/>
          <w:sz w:val="22"/>
          <w:szCs w:val="22"/>
          <w:highlight w:val="white"/>
        </w:rPr>
        <w:t>1</w:t>
      </w:r>
      <w:r w:rsidRPr="00EF66A4">
        <w:rPr>
          <w:rFonts w:ascii="Arial" w:hAnsi="Arial" w:cs="Arial"/>
          <w:b/>
          <w:color w:val="000000"/>
          <w:sz w:val="22"/>
          <w:szCs w:val="22"/>
          <w:highlight w:val="white"/>
        </w:rPr>
        <w:t>:</w:t>
      </w:r>
      <w:r w:rsidR="005822C1" w:rsidRPr="00EF66A4">
        <w:rPr>
          <w:rFonts w:ascii="Arial" w:hAnsi="Arial" w:cs="Arial"/>
          <w:b/>
          <w:color w:val="000000"/>
          <w:sz w:val="22"/>
          <w:szCs w:val="22"/>
          <w:highlight w:val="white"/>
        </w:rPr>
        <w:t>0</w:t>
      </w:r>
      <w:r w:rsidRPr="00EF66A4">
        <w:rPr>
          <w:rFonts w:ascii="Arial" w:hAnsi="Arial" w:cs="Arial"/>
          <w:b/>
          <w:color w:val="000000"/>
          <w:sz w:val="22"/>
          <w:szCs w:val="22"/>
          <w:highlight w:val="white"/>
        </w:rPr>
        <w:t>0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7424E8" w:rsidRDefault="007424E8" w:rsidP="007424E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7424E8" w:rsidRDefault="007424E8" w:rsidP="007424E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7424E8" w:rsidRPr="0070349F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 w:rsidR="0070349F" w:rsidRPr="0070349F">
        <w:rPr>
          <w:rFonts w:ascii="Arial" w:hAnsi="Arial" w:cs="Arial"/>
          <w:color w:val="000000"/>
          <w:sz w:val="22"/>
          <w:szCs w:val="22"/>
        </w:rPr>
        <w:t>Nie wymaga się wniesienia należytego wykonania umowy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Wójt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Teresa Sadowska</w:t>
      </w: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424E8" w:rsidRDefault="007424E8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70349F" w:rsidRDefault="0070349F" w:rsidP="007424E8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116D38" w:rsidRDefault="00116D38"/>
    <w:sectPr w:rsidR="00116D38" w:rsidSect="00116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24E8"/>
    <w:rsid w:val="00116D38"/>
    <w:rsid w:val="00253F08"/>
    <w:rsid w:val="005822C1"/>
    <w:rsid w:val="0070349F"/>
    <w:rsid w:val="007424E8"/>
    <w:rsid w:val="00EF66A4"/>
    <w:rsid w:val="00F92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424E8"/>
    <w:rPr>
      <w:color w:val="0000FF"/>
      <w:u w:val="single"/>
    </w:rPr>
  </w:style>
  <w:style w:type="paragraph" w:customStyle="1" w:styleId="PUNKT">
    <w:name w:val="PUNKT"/>
    <w:basedOn w:val="Normalny"/>
    <w:rsid w:val="007424E8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7424E8"/>
    <w:pPr>
      <w:suppressAutoHyphens/>
      <w:jc w:val="both"/>
    </w:pPr>
    <w:rPr>
      <w:szCs w:val="20"/>
      <w:lang w:eastAsia="ar-SA"/>
    </w:rPr>
  </w:style>
  <w:style w:type="table" w:styleId="Tabela-Siatka">
    <w:name w:val="Table Grid"/>
    <w:basedOn w:val="Standardowy"/>
    <w:rsid w:val="00742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banowo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2551</Words>
  <Characters>15307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6</cp:revision>
  <cp:lastPrinted>2010-08-23T08:01:00Z</cp:lastPrinted>
  <dcterms:created xsi:type="dcterms:W3CDTF">2010-08-23T07:53:00Z</dcterms:created>
  <dcterms:modified xsi:type="dcterms:W3CDTF">2010-08-24T07:59:00Z</dcterms:modified>
</cp:coreProperties>
</file>